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2D2E36E5" w:rsidR="00FA20F7" w:rsidRPr="00624CB2" w:rsidRDefault="00752C50" w:rsidP="00326846">
      <w:pPr>
        <w:pStyle w:val="3GPPHeader"/>
        <w:spacing w:after="0"/>
        <w:jc w:val="both"/>
        <w:rPr>
          <w:rFonts w:ascii="Arial" w:hAnsi="Arial" w:cs="Arial"/>
          <w:szCs w:val="24"/>
        </w:rPr>
      </w:pPr>
      <w:r w:rsidRPr="00624CB2">
        <w:rPr>
          <w:rFonts w:ascii="Arial" w:hAnsi="Arial" w:cs="Arial"/>
        </w:rPr>
        <w:t>3GPP TSG-RAN WG1 Meeting</w:t>
      </w:r>
      <w:r w:rsidR="003816E1" w:rsidRPr="00624CB2">
        <w:rPr>
          <w:rFonts w:ascii="Arial" w:hAnsi="Arial" w:cs="Arial"/>
        </w:rPr>
        <w:t xml:space="preserve"> #8</w:t>
      </w:r>
      <w:r w:rsidR="00FD131C">
        <w:rPr>
          <w:rFonts w:ascii="Arial" w:hAnsi="Arial" w:cs="Arial"/>
        </w:rPr>
        <w:t>6</w:t>
      </w:r>
      <w:r w:rsidR="00FA20F7" w:rsidRPr="00624CB2">
        <w:rPr>
          <w:rFonts w:ascii="Arial" w:hAnsi="Arial" w:cs="Arial"/>
        </w:rPr>
        <w:tab/>
      </w:r>
      <w:r w:rsidR="00DA7A91">
        <w:rPr>
          <w:rFonts w:ascii="Arial" w:hAnsi="Arial" w:cs="Arial"/>
          <w:szCs w:val="24"/>
        </w:rPr>
        <w:t>R1-167588</w:t>
      </w:r>
    </w:p>
    <w:p w14:paraId="165195B1" w14:textId="1627BDD5" w:rsidR="00317B85" w:rsidRPr="00624CB2" w:rsidRDefault="00FD131C" w:rsidP="00326846">
      <w:pPr>
        <w:pStyle w:val="3GPPHeader"/>
        <w:jc w:val="both"/>
        <w:rPr>
          <w:rFonts w:ascii="Arial" w:hAnsi="Arial" w:cs="Arial"/>
        </w:rPr>
      </w:pPr>
      <w:r>
        <w:rPr>
          <w:rFonts w:ascii="Arial" w:hAnsi="Arial" w:cs="Arial"/>
        </w:rPr>
        <w:t>Gothenburg, Sweden, 22</w:t>
      </w:r>
      <w:r w:rsidRPr="00FD131C">
        <w:rPr>
          <w:rFonts w:ascii="Arial" w:hAnsi="Arial" w:cs="Arial"/>
          <w:vertAlign w:val="superscript"/>
        </w:rPr>
        <w:t>nd</w:t>
      </w:r>
      <w:r>
        <w:rPr>
          <w:rFonts w:ascii="Arial" w:hAnsi="Arial" w:cs="Arial"/>
        </w:rPr>
        <w:t xml:space="preserve"> – 26</w:t>
      </w:r>
      <w:r w:rsidRPr="00FD131C">
        <w:rPr>
          <w:rFonts w:ascii="Arial" w:hAnsi="Arial" w:cs="Arial"/>
          <w:vertAlign w:val="superscript"/>
        </w:rPr>
        <w:t>th</w:t>
      </w:r>
      <w:r>
        <w:rPr>
          <w:rFonts w:ascii="Arial" w:hAnsi="Arial" w:cs="Arial"/>
        </w:rPr>
        <w:t xml:space="preserve"> August 2016</w:t>
      </w:r>
    </w:p>
    <w:p w14:paraId="6FA141D4" w14:textId="26F96A83" w:rsidR="00FA20F7" w:rsidRPr="00624CB2" w:rsidRDefault="00FA20F7" w:rsidP="00326846">
      <w:pPr>
        <w:pStyle w:val="CRCoverPage"/>
        <w:tabs>
          <w:tab w:val="left" w:pos="1980"/>
        </w:tabs>
        <w:jc w:val="both"/>
        <w:rPr>
          <w:rFonts w:cs="Arial"/>
          <w:b/>
          <w:bCs/>
          <w:sz w:val="24"/>
          <w:lang w:val="en-US" w:eastAsia="ja-JP"/>
        </w:rPr>
      </w:pPr>
      <w:r w:rsidRPr="00624CB2">
        <w:rPr>
          <w:rFonts w:cs="Arial"/>
          <w:b/>
          <w:bCs/>
          <w:sz w:val="24"/>
          <w:lang w:val="en-US"/>
        </w:rPr>
        <w:t>Agenda Item:</w:t>
      </w:r>
      <w:r w:rsidRPr="00624CB2">
        <w:rPr>
          <w:rFonts w:cs="Arial"/>
          <w:b/>
          <w:bCs/>
          <w:sz w:val="24"/>
          <w:lang w:val="en-US"/>
        </w:rPr>
        <w:tab/>
      </w:r>
      <w:r w:rsidR="0017281C">
        <w:rPr>
          <w:rFonts w:cs="Arial"/>
          <w:b/>
          <w:bCs/>
          <w:sz w:val="24"/>
          <w:lang w:val="en-US"/>
        </w:rPr>
        <w:t>7.2.2.2.2</w:t>
      </w:r>
    </w:p>
    <w:p w14:paraId="186753AF" w14:textId="77777777" w:rsidR="00FA20F7" w:rsidRPr="00624CB2" w:rsidRDefault="0092027E" w:rsidP="00326846">
      <w:pPr>
        <w:tabs>
          <w:tab w:val="left" w:pos="1985"/>
        </w:tabs>
        <w:jc w:val="both"/>
        <w:rPr>
          <w:rFonts w:ascii="Arial" w:hAnsi="Arial" w:cs="Arial"/>
          <w:b/>
          <w:bCs/>
          <w:sz w:val="24"/>
        </w:rPr>
      </w:pPr>
      <w:r w:rsidRPr="00624CB2">
        <w:rPr>
          <w:rFonts w:ascii="Arial" w:hAnsi="Arial" w:cs="Arial"/>
          <w:b/>
          <w:bCs/>
          <w:sz w:val="24"/>
        </w:rPr>
        <w:t>Source:</w:t>
      </w:r>
      <w:r w:rsidRPr="00624CB2">
        <w:rPr>
          <w:rFonts w:ascii="Arial" w:hAnsi="Arial" w:cs="Arial"/>
          <w:b/>
          <w:bCs/>
          <w:sz w:val="24"/>
        </w:rPr>
        <w:tab/>
        <w:t>InterDigital</w:t>
      </w:r>
      <w:r w:rsidR="00E17A3B" w:rsidRPr="00624CB2">
        <w:rPr>
          <w:rFonts w:ascii="Arial" w:hAnsi="Arial" w:cs="Arial"/>
          <w:b/>
          <w:bCs/>
          <w:sz w:val="24"/>
        </w:rPr>
        <w:t xml:space="preserve"> Communications</w:t>
      </w:r>
    </w:p>
    <w:p w14:paraId="4F02292E" w14:textId="03E38D25" w:rsidR="00FA20F7" w:rsidRPr="00624CB2" w:rsidRDefault="00FA20F7" w:rsidP="00326846">
      <w:pPr>
        <w:ind w:left="1985" w:hanging="1985"/>
        <w:jc w:val="both"/>
        <w:rPr>
          <w:rFonts w:ascii="Arial" w:hAnsi="Arial" w:cs="Arial"/>
          <w:b/>
          <w:bCs/>
        </w:rPr>
      </w:pPr>
      <w:r w:rsidRPr="00624CB2">
        <w:rPr>
          <w:rFonts w:ascii="Arial" w:hAnsi="Arial" w:cs="Arial"/>
          <w:b/>
          <w:bCs/>
          <w:sz w:val="24"/>
        </w:rPr>
        <w:t>Title:</w:t>
      </w:r>
      <w:r w:rsidRPr="00624CB2">
        <w:rPr>
          <w:rFonts w:ascii="Arial" w:hAnsi="Arial" w:cs="Arial"/>
          <w:b/>
          <w:bCs/>
          <w:sz w:val="24"/>
        </w:rPr>
        <w:tab/>
      </w:r>
      <w:r w:rsidR="0017281C">
        <w:rPr>
          <w:rFonts w:ascii="Arial" w:hAnsi="Arial" w:cs="Arial"/>
          <w:b/>
          <w:bCs/>
          <w:sz w:val="24"/>
        </w:rPr>
        <w:t>Forward reservation of resources on PSCCH</w:t>
      </w:r>
    </w:p>
    <w:p w14:paraId="20F2A3ED" w14:textId="0E18106F" w:rsidR="00FA20F7" w:rsidRPr="00624CB2" w:rsidRDefault="00FA20F7" w:rsidP="00326846">
      <w:pPr>
        <w:ind w:left="1985" w:hanging="1985"/>
        <w:jc w:val="both"/>
        <w:rPr>
          <w:rFonts w:ascii="Arial" w:hAnsi="Arial" w:cs="Arial"/>
          <w:b/>
          <w:bCs/>
          <w:sz w:val="24"/>
        </w:rPr>
      </w:pPr>
      <w:r w:rsidRPr="00624CB2">
        <w:rPr>
          <w:rFonts w:ascii="Arial" w:hAnsi="Arial" w:cs="Arial"/>
          <w:b/>
          <w:bCs/>
          <w:sz w:val="24"/>
        </w:rPr>
        <w:t>Document for:</w:t>
      </w:r>
      <w:r w:rsidRPr="00624CB2">
        <w:rPr>
          <w:rFonts w:ascii="Arial" w:hAnsi="Arial" w:cs="Arial"/>
          <w:b/>
          <w:bCs/>
          <w:sz w:val="24"/>
        </w:rPr>
        <w:tab/>
        <w:t>Discussion</w:t>
      </w:r>
    </w:p>
    <w:p w14:paraId="17878940" w14:textId="77777777" w:rsidR="00116C54" w:rsidRPr="00624CB2" w:rsidRDefault="00116C54" w:rsidP="00326846">
      <w:pPr>
        <w:ind w:left="1985" w:hanging="1985"/>
        <w:jc w:val="both"/>
        <w:rPr>
          <w:b/>
          <w:bCs/>
          <w:sz w:val="24"/>
          <w:lang w:eastAsia="ko-KR"/>
        </w:rPr>
      </w:pPr>
    </w:p>
    <w:p w14:paraId="45A92109" w14:textId="77777777" w:rsidR="00261A3A" w:rsidRPr="00624CB2" w:rsidRDefault="00A35469" w:rsidP="00326846">
      <w:pPr>
        <w:pStyle w:val="Heading1"/>
        <w:jc w:val="both"/>
        <w:rPr>
          <w:lang w:val="en-US"/>
        </w:rPr>
      </w:pPr>
      <w:r w:rsidRPr="00624CB2">
        <w:rPr>
          <w:lang w:val="en-US"/>
        </w:rPr>
        <w:t>Introduction</w:t>
      </w:r>
    </w:p>
    <w:p w14:paraId="1521DE90" w14:textId="77777777" w:rsidR="00963138" w:rsidRDefault="00963138" w:rsidP="00963138">
      <w:pPr>
        <w:spacing w:after="240"/>
        <w:jc w:val="both"/>
        <w:rPr>
          <w:rFonts w:ascii="Arial" w:hAnsi="Arial" w:cs="Arial"/>
          <w:sz w:val="20"/>
        </w:rPr>
      </w:pPr>
      <w:r>
        <w:rPr>
          <w:rFonts w:ascii="Arial" w:hAnsi="Arial" w:cs="Arial"/>
          <w:sz w:val="20"/>
        </w:rPr>
        <w:t>In RAN1-84bis it was agreed that</w:t>
      </w:r>
      <w:r w:rsidRPr="00DB0ABC">
        <w:rPr>
          <w:rFonts w:ascii="Arial" w:hAnsi="Arial" w:cs="Arial"/>
          <w:sz w:val="20"/>
        </w:rPr>
        <w:t xml:space="preserve"> </w:t>
      </w:r>
      <w:r>
        <w:rPr>
          <w:rFonts w:ascii="Arial" w:hAnsi="Arial" w:cs="Arial"/>
          <w:sz w:val="20"/>
        </w:rPr>
        <w:t xml:space="preserve">the SA and associated data can be </w:t>
      </w:r>
      <w:r w:rsidRPr="00DB0ABC">
        <w:rPr>
          <w:rFonts w:ascii="Arial" w:hAnsi="Arial" w:cs="Arial"/>
          <w:sz w:val="20"/>
        </w:rPr>
        <w:t xml:space="preserve">transmitted in the same TTI, </w:t>
      </w:r>
      <w:r>
        <w:rPr>
          <w:rFonts w:ascii="Arial" w:hAnsi="Arial" w:cs="Arial"/>
          <w:sz w:val="20"/>
        </w:rPr>
        <w:t xml:space="preserve">or in different TTIs. </w:t>
      </w:r>
      <w:r w:rsidRPr="00DB0ABC">
        <w:rPr>
          <w:rFonts w:ascii="Arial" w:hAnsi="Arial" w:cs="Arial"/>
          <w:sz w:val="20"/>
        </w:rPr>
        <w:t>The scheduling timing between SA and associated data is variable</w:t>
      </w:r>
      <w:r>
        <w:rPr>
          <w:rFonts w:ascii="Arial" w:hAnsi="Arial" w:cs="Arial"/>
          <w:sz w:val="20"/>
        </w:rPr>
        <w:t xml:space="preserve">. </w:t>
      </w:r>
      <w:r w:rsidRPr="00DB0ABC">
        <w:rPr>
          <w:rFonts w:ascii="Arial" w:hAnsi="Arial" w:cs="Arial"/>
          <w:sz w:val="20"/>
        </w:rPr>
        <w:t>In UE-autonomous resource selection mode, the timing is chosen by the transmitting UE from a configurable range</w:t>
      </w:r>
      <w:r>
        <w:rPr>
          <w:rFonts w:ascii="Arial" w:hAnsi="Arial" w:cs="Arial"/>
          <w:sz w:val="20"/>
        </w:rPr>
        <w:t xml:space="preserve">, but in </w:t>
      </w:r>
      <w:r w:rsidRPr="00DB0ABC">
        <w:rPr>
          <w:rFonts w:ascii="Arial" w:hAnsi="Arial" w:cs="Arial"/>
          <w:sz w:val="20"/>
        </w:rPr>
        <w:t>eNB-scheduling mode, the timing is determined by eNB</w:t>
      </w:r>
      <w:r>
        <w:rPr>
          <w:rFonts w:ascii="Arial" w:hAnsi="Arial" w:cs="Arial"/>
          <w:sz w:val="20"/>
        </w:rPr>
        <w:t xml:space="preserve">. The </w:t>
      </w:r>
      <w:r w:rsidRPr="00DB0ABC">
        <w:rPr>
          <w:rFonts w:ascii="Arial" w:hAnsi="Arial" w:cs="Arial"/>
          <w:sz w:val="20"/>
        </w:rPr>
        <w:t>SA includes information about the scheduling timing</w:t>
      </w:r>
      <w:r>
        <w:rPr>
          <w:rFonts w:ascii="Arial" w:hAnsi="Arial" w:cs="Arial"/>
          <w:sz w:val="20"/>
        </w:rPr>
        <w:t>.</w:t>
      </w:r>
    </w:p>
    <w:p w14:paraId="35C3D663" w14:textId="4ED9C113" w:rsidR="004D5D0C" w:rsidRDefault="004C4380" w:rsidP="00963138">
      <w:pPr>
        <w:spacing w:after="120"/>
        <w:jc w:val="both"/>
        <w:rPr>
          <w:rFonts w:ascii="Arial" w:hAnsi="Arial" w:cs="Arial"/>
          <w:sz w:val="20"/>
        </w:rPr>
      </w:pPr>
      <w:r>
        <w:rPr>
          <w:rFonts w:ascii="Arial" w:hAnsi="Arial" w:cs="Arial"/>
          <w:sz w:val="20"/>
        </w:rPr>
        <w:t>In RAN1-</w:t>
      </w:r>
      <w:r w:rsidR="00310CF0">
        <w:rPr>
          <w:rFonts w:ascii="Arial" w:hAnsi="Arial" w:cs="Arial"/>
          <w:sz w:val="20"/>
        </w:rPr>
        <w:t>85,</w:t>
      </w:r>
      <w:r w:rsidR="0017281C">
        <w:rPr>
          <w:rFonts w:ascii="Arial" w:hAnsi="Arial" w:cs="Arial"/>
          <w:sz w:val="20"/>
        </w:rPr>
        <w:t xml:space="preserve"> </w:t>
      </w:r>
      <w:r w:rsidR="00963138">
        <w:rPr>
          <w:rFonts w:ascii="Arial" w:hAnsi="Arial" w:cs="Arial"/>
          <w:sz w:val="20"/>
        </w:rPr>
        <w:t xml:space="preserve">it was agreed to allow </w:t>
      </w:r>
      <w:r w:rsidR="00963138" w:rsidRPr="00963138">
        <w:rPr>
          <w:rFonts w:ascii="Arial" w:hAnsi="Arial" w:cs="Arial"/>
          <w:sz w:val="20"/>
        </w:rPr>
        <w:t xml:space="preserve">resource pool definition where SA and associated </w:t>
      </w:r>
      <w:r w:rsidR="00963138">
        <w:rPr>
          <w:rFonts w:ascii="Arial" w:hAnsi="Arial" w:cs="Arial"/>
          <w:sz w:val="20"/>
        </w:rPr>
        <w:t>d</w:t>
      </w:r>
      <w:r w:rsidR="00963138" w:rsidRPr="00963138">
        <w:rPr>
          <w:rFonts w:ascii="Arial" w:hAnsi="Arial" w:cs="Arial"/>
          <w:sz w:val="20"/>
        </w:rPr>
        <w:t>ata transmitted on the same subframe are always adjacent in frequency</w:t>
      </w:r>
      <w:r w:rsidR="00963138">
        <w:rPr>
          <w:rFonts w:ascii="Arial" w:hAnsi="Arial" w:cs="Arial"/>
          <w:sz w:val="20"/>
        </w:rPr>
        <w:t xml:space="preserve">. </w:t>
      </w:r>
      <w:r w:rsidR="00963138" w:rsidRPr="00963138">
        <w:rPr>
          <w:rFonts w:ascii="Arial" w:hAnsi="Arial" w:cs="Arial"/>
          <w:sz w:val="20"/>
        </w:rPr>
        <w:t>All the PRBs used for the SA and associated data transmissions sh</w:t>
      </w:r>
      <w:r w:rsidR="00963138">
        <w:rPr>
          <w:rFonts w:ascii="Arial" w:hAnsi="Arial" w:cs="Arial"/>
          <w:sz w:val="20"/>
        </w:rPr>
        <w:t xml:space="preserve">ould be contiguous in frequency with details left FFS. </w:t>
      </w:r>
      <w:r w:rsidR="00963138" w:rsidRPr="00963138">
        <w:rPr>
          <w:rFonts w:ascii="Arial" w:hAnsi="Arial" w:cs="Arial"/>
          <w:sz w:val="20"/>
        </w:rPr>
        <w:t>For a SA and associated data resource pool it should be (pre)configured whether the SA and associated data transmission by all the UEs using this pool either occur on the same subframe in an adjacent manner, o</w:t>
      </w:r>
      <w:r w:rsidR="00963138">
        <w:rPr>
          <w:rFonts w:ascii="Arial" w:hAnsi="Arial" w:cs="Arial"/>
          <w:sz w:val="20"/>
        </w:rPr>
        <w:t xml:space="preserve">r occur on different subframes (FFS, </w:t>
      </w:r>
      <w:r w:rsidR="00963138" w:rsidRPr="00963138">
        <w:rPr>
          <w:rFonts w:ascii="Arial" w:hAnsi="Arial" w:cs="Arial"/>
          <w:sz w:val="20"/>
        </w:rPr>
        <w:t>or occur on the same subframe in a potentially non-adjacent manner).</w:t>
      </w:r>
      <w:r w:rsidR="00963138">
        <w:rPr>
          <w:rFonts w:ascii="Arial" w:hAnsi="Arial" w:cs="Arial"/>
          <w:sz w:val="20"/>
        </w:rPr>
        <w:t xml:space="preserve"> It was noted that i</w:t>
      </w:r>
      <w:r w:rsidR="00963138" w:rsidRPr="00963138">
        <w:rPr>
          <w:rFonts w:ascii="Arial" w:hAnsi="Arial" w:cs="Arial"/>
          <w:sz w:val="20"/>
        </w:rPr>
        <w:t>f the FFS part is not supported, this reverts the existing agreement “</w:t>
      </w:r>
      <w:r w:rsidR="00963138">
        <w:rPr>
          <w:rFonts w:ascii="Arial" w:hAnsi="Arial" w:cs="Arial"/>
          <w:sz w:val="20"/>
        </w:rPr>
        <w:t>w</w:t>
      </w:r>
      <w:r w:rsidR="00963138" w:rsidRPr="00963138">
        <w:rPr>
          <w:rFonts w:ascii="Arial" w:hAnsi="Arial" w:cs="Arial"/>
          <w:sz w:val="20"/>
        </w:rPr>
        <w:t>hen SA and the associated data are transmitted in the same TTI, they can be transmitted in non-adjacent RBs.”</w:t>
      </w:r>
      <w:r w:rsidR="00963138">
        <w:rPr>
          <w:rFonts w:ascii="Arial" w:hAnsi="Arial" w:cs="Arial"/>
          <w:sz w:val="20"/>
        </w:rPr>
        <w:t xml:space="preserve"> It was also noted that </w:t>
      </w:r>
      <w:r w:rsidR="00963138" w:rsidRPr="00963138">
        <w:rPr>
          <w:rFonts w:ascii="Arial" w:hAnsi="Arial" w:cs="Arial"/>
          <w:sz w:val="20"/>
        </w:rPr>
        <w:t>not increasing the number of SA blind decoding to enable this</w:t>
      </w:r>
      <w:r w:rsidR="00963138">
        <w:rPr>
          <w:rFonts w:ascii="Arial" w:hAnsi="Arial" w:cs="Arial"/>
          <w:sz w:val="20"/>
        </w:rPr>
        <w:t xml:space="preserve"> is desirable</w:t>
      </w:r>
      <w:r w:rsidR="00963138" w:rsidRPr="00963138">
        <w:rPr>
          <w:rFonts w:ascii="Arial" w:hAnsi="Arial" w:cs="Arial"/>
          <w:sz w:val="20"/>
        </w:rPr>
        <w:t>.</w:t>
      </w:r>
    </w:p>
    <w:p w14:paraId="792950D8" w14:textId="45F79878" w:rsidR="00213CA6" w:rsidRDefault="00E950ED" w:rsidP="003618AD">
      <w:pPr>
        <w:spacing w:after="240"/>
        <w:jc w:val="both"/>
        <w:rPr>
          <w:rFonts w:ascii="Arial" w:hAnsi="Arial" w:cs="Arial"/>
          <w:sz w:val="20"/>
        </w:rPr>
      </w:pPr>
      <w:r>
        <w:rPr>
          <w:rFonts w:ascii="Arial" w:hAnsi="Arial" w:cs="Arial"/>
          <w:sz w:val="20"/>
        </w:rPr>
        <w:t xml:space="preserve">In this contribution, we provide our summary view on </w:t>
      </w:r>
      <w:r w:rsidR="00695951">
        <w:rPr>
          <w:rFonts w:ascii="Arial" w:hAnsi="Arial" w:cs="Arial"/>
          <w:sz w:val="20"/>
        </w:rPr>
        <w:t>the indication of the intention to reuse the frequency resource for another TB in the PSCCH</w:t>
      </w:r>
      <w:r>
        <w:rPr>
          <w:rFonts w:ascii="Arial" w:hAnsi="Arial" w:cs="Arial"/>
          <w:sz w:val="20"/>
        </w:rPr>
        <w:t>.</w:t>
      </w:r>
    </w:p>
    <w:p w14:paraId="411E7BBD" w14:textId="7D8D9086" w:rsidR="00085A01" w:rsidRPr="00624CB2" w:rsidRDefault="00A14BE3" w:rsidP="00326846">
      <w:pPr>
        <w:pStyle w:val="Heading1"/>
        <w:jc w:val="both"/>
        <w:rPr>
          <w:lang w:val="en-US"/>
        </w:rPr>
      </w:pPr>
      <w:r w:rsidRPr="00624CB2">
        <w:rPr>
          <w:lang w:val="en-US"/>
        </w:rPr>
        <w:t>Discussion</w:t>
      </w:r>
    </w:p>
    <w:p w14:paraId="425BDA35" w14:textId="77777777" w:rsidR="005D26C2" w:rsidRDefault="005D26C2" w:rsidP="005D26C2">
      <w:pPr>
        <w:jc w:val="both"/>
        <w:rPr>
          <w:rFonts w:ascii="Arial" w:hAnsi="Arial" w:cs="Arial"/>
          <w:sz w:val="20"/>
        </w:rPr>
      </w:pPr>
      <w:r>
        <w:rPr>
          <w:rFonts w:ascii="Arial" w:hAnsi="Arial" w:cs="Arial"/>
          <w:sz w:val="20"/>
        </w:rPr>
        <w:t>In pour view, the resource block assignment and time resource patterns from the existing R12 SCI format would be adopted to the new context of R14 V2V by means of subband based allocations and fixed mapping between an SA and its associated data resources on PSSCH.</w:t>
      </w:r>
    </w:p>
    <w:p w14:paraId="74CBD2FA" w14:textId="06B51EF3" w:rsidR="005A1BAD" w:rsidRDefault="005A1BAD" w:rsidP="005A1BAD">
      <w:pPr>
        <w:jc w:val="both"/>
        <w:rPr>
          <w:rFonts w:ascii="Arial" w:hAnsi="Arial" w:cs="Arial"/>
          <w:sz w:val="20"/>
        </w:rPr>
      </w:pPr>
      <w:r>
        <w:rPr>
          <w:rFonts w:ascii="Arial" w:hAnsi="Arial" w:cs="Arial"/>
          <w:sz w:val="20"/>
        </w:rPr>
        <w:t>In our view, the new R14 SCI format for V2V should indicate the resource allocation for the current TB including any re-transmission in sequence. Conversely, it is also clear that any PSSCH transmission carrying an initial TB or a re-transmission of it must have at least one associated SA.</w:t>
      </w:r>
    </w:p>
    <w:p w14:paraId="25BBB796" w14:textId="67FDCA1A" w:rsidR="005A1BAD" w:rsidRDefault="005A1BAD" w:rsidP="005A1BAD">
      <w:pPr>
        <w:jc w:val="both"/>
        <w:rPr>
          <w:rFonts w:ascii="Arial" w:hAnsi="Arial" w:cs="Arial"/>
          <w:sz w:val="20"/>
        </w:rPr>
      </w:pPr>
      <w:r>
        <w:rPr>
          <w:rFonts w:ascii="Arial" w:hAnsi="Arial" w:cs="Arial"/>
          <w:sz w:val="20"/>
        </w:rPr>
        <w:t xml:space="preserve">In addition, the SCI uses a forward reservation mechanism whereby the intent to transmit of the single next TB in sequence including its re-transmissions is also signaled in the SCI. Resource selection using sensing and SA decoding can only function when a UE trying to transmit and measuring / decoding in PSCCH scheduling interval </w:t>
      </w:r>
      <w:r w:rsidRPr="005A1BAD">
        <w:rPr>
          <w:rFonts w:ascii="Arial" w:hAnsi="Arial" w:cs="Arial"/>
          <w:i/>
          <w:sz w:val="20"/>
        </w:rPr>
        <w:t>n</w:t>
      </w:r>
      <w:r>
        <w:rPr>
          <w:rFonts w:ascii="Arial" w:hAnsi="Arial" w:cs="Arial"/>
          <w:sz w:val="20"/>
        </w:rPr>
        <w:t xml:space="preserve"> can infer on which resources other UEs intend to transmit in PSCCH interval </w:t>
      </w:r>
      <w:r w:rsidRPr="005A1BAD">
        <w:rPr>
          <w:rFonts w:ascii="Arial" w:hAnsi="Arial" w:cs="Arial"/>
          <w:i/>
          <w:sz w:val="20"/>
        </w:rPr>
        <w:t>n+1</w:t>
      </w:r>
      <w:r>
        <w:rPr>
          <w:rFonts w:ascii="Arial" w:hAnsi="Arial" w:cs="Arial"/>
          <w:sz w:val="20"/>
        </w:rPr>
        <w:t>. Forward reservation both makes sensing meaningful and reliable while in the same time allowing resource re-selection only over prolonged period of times, i.e. order of seconds.</w:t>
      </w:r>
    </w:p>
    <w:p w14:paraId="3EC3B199" w14:textId="77777777" w:rsidR="00D723D5" w:rsidRDefault="005A1BAD" w:rsidP="005A1BAD">
      <w:pPr>
        <w:jc w:val="both"/>
        <w:rPr>
          <w:rFonts w:ascii="Arial" w:hAnsi="Arial" w:cs="Arial"/>
          <w:sz w:val="20"/>
        </w:rPr>
      </w:pPr>
      <w:r>
        <w:rPr>
          <w:rFonts w:ascii="Arial" w:hAnsi="Arial" w:cs="Arial"/>
          <w:sz w:val="20"/>
        </w:rPr>
        <w:t xml:space="preserve">A forward reservation in a SA in scheduling interval </w:t>
      </w:r>
      <w:r w:rsidRPr="00D723D5">
        <w:rPr>
          <w:rFonts w:ascii="Arial" w:hAnsi="Arial" w:cs="Arial"/>
          <w:i/>
          <w:sz w:val="20"/>
        </w:rPr>
        <w:t>n</w:t>
      </w:r>
      <w:r>
        <w:rPr>
          <w:rFonts w:ascii="Arial" w:hAnsi="Arial" w:cs="Arial"/>
          <w:sz w:val="20"/>
        </w:rPr>
        <w:t xml:space="preserve"> </w:t>
      </w:r>
      <w:r w:rsidR="00D723D5">
        <w:rPr>
          <w:rFonts w:ascii="Arial" w:hAnsi="Arial" w:cs="Arial"/>
          <w:sz w:val="20"/>
        </w:rPr>
        <w:t xml:space="preserve">does not necessarily need to apply to scheduling interval </w:t>
      </w:r>
      <w:bookmarkStart w:id="0" w:name="_GoBack"/>
      <w:r w:rsidR="00D723D5" w:rsidRPr="009448FF">
        <w:rPr>
          <w:rFonts w:ascii="Arial" w:hAnsi="Arial" w:cs="Arial"/>
          <w:i/>
          <w:sz w:val="20"/>
        </w:rPr>
        <w:t>n+1</w:t>
      </w:r>
      <w:r w:rsidR="00D723D5">
        <w:rPr>
          <w:rFonts w:ascii="Arial" w:hAnsi="Arial" w:cs="Arial"/>
          <w:sz w:val="20"/>
        </w:rPr>
        <w:t xml:space="preserve"> </w:t>
      </w:r>
      <w:bookmarkEnd w:id="0"/>
      <w:r w:rsidR="00D723D5">
        <w:rPr>
          <w:rFonts w:ascii="Arial" w:hAnsi="Arial" w:cs="Arial"/>
          <w:sz w:val="20"/>
        </w:rPr>
        <w:t>such as for example illustrated in Figure 1. In fact, inclusion of a time offset indicating intended resource usage in an upcoming scheduling interval is beneficial when aligning SA scheduling intervals with SPS patterns. The time offset is signaled by the eNB through the R14 sidelink grant DCI in Mode 1, or autonomously determined by a UE in Mode 2.</w:t>
      </w:r>
    </w:p>
    <w:p w14:paraId="2C20905D" w14:textId="348C235C" w:rsidR="005A1BAD" w:rsidRDefault="00D723D5" w:rsidP="005A1BAD">
      <w:pPr>
        <w:jc w:val="both"/>
        <w:rPr>
          <w:rFonts w:ascii="Arial" w:hAnsi="Arial" w:cs="Arial"/>
          <w:sz w:val="20"/>
        </w:rPr>
      </w:pPr>
      <w:r>
        <w:rPr>
          <w:rFonts w:ascii="Arial" w:hAnsi="Arial" w:cs="Arial"/>
          <w:sz w:val="20"/>
        </w:rPr>
        <w:t>We think that it is not necessary to indicate intent to reuse resources</w:t>
      </w:r>
      <w:r w:rsidRPr="005A1BAD">
        <w:rPr>
          <w:rFonts w:ascii="Arial" w:hAnsi="Arial" w:cs="Arial"/>
          <w:sz w:val="20"/>
        </w:rPr>
        <w:t xml:space="preserve"> for the transmission </w:t>
      </w:r>
      <w:r>
        <w:rPr>
          <w:rFonts w:ascii="Arial" w:hAnsi="Arial" w:cs="Arial"/>
          <w:sz w:val="20"/>
        </w:rPr>
        <w:t xml:space="preserve">beyond the next following </w:t>
      </w:r>
      <w:r w:rsidRPr="005A1BAD">
        <w:rPr>
          <w:rFonts w:ascii="Arial" w:hAnsi="Arial" w:cs="Arial"/>
          <w:sz w:val="20"/>
        </w:rPr>
        <w:t xml:space="preserve">TB. </w:t>
      </w:r>
      <w:r>
        <w:rPr>
          <w:rFonts w:ascii="Arial" w:hAnsi="Arial" w:cs="Arial"/>
          <w:sz w:val="20"/>
        </w:rPr>
        <w:t xml:space="preserve">Packet arrival in the transmitting V2V UE varies as a function of the application layer and is </w:t>
      </w:r>
      <w:r>
        <w:rPr>
          <w:rFonts w:ascii="Arial" w:hAnsi="Arial" w:cs="Arial"/>
          <w:sz w:val="20"/>
        </w:rPr>
        <w:lastRenderedPageBreak/>
        <w:t xml:space="preserve">therefore somewhat unpredictable in the AS. We note that for the case where </w:t>
      </w:r>
      <w:r w:rsidR="005A1BAD">
        <w:rPr>
          <w:rFonts w:ascii="Arial" w:hAnsi="Arial" w:cs="Arial"/>
          <w:sz w:val="20"/>
        </w:rPr>
        <w:t xml:space="preserve">a forward reservation is latter dropped by the transmitting UE, a standalone SA would be transmitted using a special bit flag in the corresponding PSCCH resources </w:t>
      </w:r>
      <w:r w:rsidR="00AF2C88" w:rsidRPr="00AF2C88">
        <w:rPr>
          <w:rFonts w:ascii="Arial" w:hAnsi="Arial" w:cs="Arial"/>
          <w:color w:val="000000" w:themeColor="text1"/>
          <w:sz w:val="20"/>
        </w:rPr>
        <w:t>[4</w:t>
      </w:r>
      <w:r w:rsidR="005A1BAD" w:rsidRPr="00AF2C88">
        <w:rPr>
          <w:rFonts w:ascii="Arial" w:hAnsi="Arial" w:cs="Arial"/>
          <w:color w:val="000000" w:themeColor="text1"/>
          <w:sz w:val="20"/>
        </w:rPr>
        <w:t>]</w:t>
      </w:r>
      <w:r w:rsidR="005A1BAD">
        <w:rPr>
          <w:rFonts w:ascii="Arial" w:hAnsi="Arial" w:cs="Arial"/>
          <w:sz w:val="20"/>
        </w:rPr>
        <w:t>.</w:t>
      </w:r>
    </w:p>
    <w:p w14:paraId="197F7FFF" w14:textId="77777777" w:rsidR="005D26C2" w:rsidRDefault="005D26C2" w:rsidP="005D26C2">
      <w:pPr>
        <w:jc w:val="both"/>
        <w:rPr>
          <w:rFonts w:ascii="Arial" w:hAnsi="Arial" w:cs="Arial"/>
          <w:sz w:val="20"/>
        </w:rPr>
      </w:pPr>
    </w:p>
    <w:p w14:paraId="23DD93FA" w14:textId="52AD4157" w:rsidR="00105CB0" w:rsidRDefault="00105CB0" w:rsidP="00105CB0">
      <w:pPr>
        <w:jc w:val="center"/>
        <w:rPr>
          <w:rFonts w:ascii="Arial" w:hAnsi="Arial" w:cs="Arial"/>
          <w:sz w:val="20"/>
        </w:rPr>
      </w:pPr>
      <w:r w:rsidRPr="00105CB0">
        <w:rPr>
          <w:noProof/>
        </w:rPr>
        <w:drawing>
          <wp:inline distT="0" distB="0" distL="0" distR="0" wp14:anchorId="2430B3C2" wp14:editId="5CA56D58">
            <wp:extent cx="5303520" cy="22966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5641" cy="2301851"/>
                    </a:xfrm>
                    <a:prstGeom prst="rect">
                      <a:avLst/>
                    </a:prstGeom>
                    <a:noFill/>
                    <a:ln>
                      <a:noFill/>
                    </a:ln>
                  </pic:spPr>
                </pic:pic>
              </a:graphicData>
            </a:graphic>
          </wp:inline>
        </w:drawing>
      </w:r>
    </w:p>
    <w:p w14:paraId="5160BEC1" w14:textId="1C24EA59" w:rsidR="00105CB0" w:rsidRPr="00105CB0" w:rsidRDefault="00105CB0" w:rsidP="00105CB0">
      <w:pPr>
        <w:pStyle w:val="Caption"/>
      </w:pPr>
      <w:r w:rsidRPr="00105CB0">
        <w:t>Figure 1: Indication of intention to reuse the frequency resource in PSCCH</w:t>
      </w:r>
    </w:p>
    <w:p w14:paraId="1B84AF2A" w14:textId="77777777" w:rsidR="005D26C2" w:rsidRPr="00624CB2" w:rsidRDefault="005D26C2" w:rsidP="004D5D0C">
      <w:pPr>
        <w:jc w:val="both"/>
        <w:rPr>
          <w:rFonts w:ascii="Arial" w:hAnsi="Arial" w:cs="Arial"/>
          <w:sz w:val="20"/>
        </w:rPr>
      </w:pPr>
    </w:p>
    <w:p w14:paraId="5AD052BD" w14:textId="77777777" w:rsidR="00251B4A" w:rsidRPr="00624CB2" w:rsidRDefault="00251B4A" w:rsidP="00326846">
      <w:pPr>
        <w:pStyle w:val="Heading1"/>
        <w:spacing w:after="120"/>
        <w:jc w:val="both"/>
        <w:rPr>
          <w:sz w:val="32"/>
          <w:lang w:val="en-US"/>
        </w:rPr>
      </w:pPr>
      <w:r w:rsidRPr="00624CB2">
        <w:rPr>
          <w:sz w:val="32"/>
          <w:lang w:val="en-US"/>
        </w:rPr>
        <w:t>Conclusion</w:t>
      </w:r>
    </w:p>
    <w:p w14:paraId="0B20988D" w14:textId="3090C283" w:rsidR="00D723D5" w:rsidRDefault="00D723D5" w:rsidP="00D723D5">
      <w:pPr>
        <w:spacing w:after="120"/>
        <w:jc w:val="both"/>
        <w:rPr>
          <w:rFonts w:ascii="Arial" w:hAnsi="Arial" w:cs="Arial"/>
          <w:sz w:val="20"/>
        </w:rPr>
      </w:pPr>
      <w:r>
        <w:rPr>
          <w:rFonts w:ascii="Arial" w:hAnsi="Arial" w:cs="Arial"/>
          <w:sz w:val="20"/>
        </w:rPr>
        <w:t>In this contribution, we provide our summary view on the indication of the intention to reuse the frequency resource for another TB in the PSCCH. In summary we propose:</w:t>
      </w:r>
    </w:p>
    <w:p w14:paraId="3C82E1F3" w14:textId="45BE003E" w:rsidR="00D723D5" w:rsidRDefault="00D723D5" w:rsidP="00D723D5">
      <w:pPr>
        <w:spacing w:after="0"/>
        <w:jc w:val="both"/>
        <w:rPr>
          <w:rFonts w:ascii="Arial" w:hAnsi="Arial" w:cs="Arial"/>
          <w:sz w:val="20"/>
        </w:rPr>
      </w:pPr>
      <w:r w:rsidRPr="00D723D5">
        <w:rPr>
          <w:rFonts w:ascii="Arial" w:hAnsi="Arial" w:cs="Arial"/>
          <w:b/>
          <w:sz w:val="20"/>
        </w:rPr>
        <w:t>Proposal 1:</w:t>
      </w:r>
    </w:p>
    <w:p w14:paraId="251C17B4" w14:textId="79780DCF" w:rsidR="00D723D5" w:rsidRDefault="00D723D5" w:rsidP="00D723D5">
      <w:pPr>
        <w:spacing w:after="120"/>
        <w:jc w:val="both"/>
        <w:rPr>
          <w:rFonts w:ascii="Arial" w:hAnsi="Arial" w:cs="Arial"/>
          <w:i/>
          <w:sz w:val="20"/>
        </w:rPr>
      </w:pPr>
      <w:r>
        <w:rPr>
          <w:rFonts w:ascii="Arial" w:hAnsi="Arial" w:cs="Arial"/>
          <w:i/>
          <w:sz w:val="20"/>
        </w:rPr>
        <w:t>SCI schedules one TB and all its re-transmissions in sequence up to a maximum number of re-transmissions.</w:t>
      </w:r>
    </w:p>
    <w:p w14:paraId="77C6C2C4" w14:textId="6EC793A5" w:rsidR="00D723D5" w:rsidRDefault="00D723D5" w:rsidP="00D723D5">
      <w:pPr>
        <w:spacing w:after="0"/>
        <w:jc w:val="both"/>
        <w:rPr>
          <w:rFonts w:ascii="Arial" w:hAnsi="Arial" w:cs="Arial"/>
          <w:sz w:val="20"/>
        </w:rPr>
      </w:pPr>
      <w:r>
        <w:rPr>
          <w:rFonts w:ascii="Arial" w:hAnsi="Arial" w:cs="Arial"/>
          <w:b/>
          <w:sz w:val="20"/>
        </w:rPr>
        <w:t>Proposal 2</w:t>
      </w:r>
      <w:r w:rsidRPr="00D723D5">
        <w:rPr>
          <w:rFonts w:ascii="Arial" w:hAnsi="Arial" w:cs="Arial"/>
          <w:b/>
          <w:sz w:val="20"/>
        </w:rPr>
        <w:t>:</w:t>
      </w:r>
    </w:p>
    <w:p w14:paraId="1F2AD104" w14:textId="12D0E15A" w:rsidR="00D723D5" w:rsidRDefault="00D723D5" w:rsidP="00D723D5">
      <w:pPr>
        <w:spacing w:after="120"/>
        <w:jc w:val="both"/>
        <w:rPr>
          <w:rFonts w:ascii="Arial" w:hAnsi="Arial" w:cs="Arial"/>
          <w:i/>
          <w:sz w:val="20"/>
        </w:rPr>
      </w:pPr>
      <w:r>
        <w:rPr>
          <w:rFonts w:ascii="Arial" w:hAnsi="Arial" w:cs="Arial"/>
          <w:i/>
          <w:sz w:val="20"/>
        </w:rPr>
        <w:t>SCI in scheduling interval n signals intention to reuse a frequency resource for the next immediately following TB and all its re-transmissions in sequence in scheduling interval n+1.</w:t>
      </w:r>
    </w:p>
    <w:p w14:paraId="49E80C3B" w14:textId="77777777" w:rsidR="0046410C" w:rsidRPr="00624CB2" w:rsidRDefault="0046410C" w:rsidP="00D723D5">
      <w:pPr>
        <w:spacing w:after="120"/>
        <w:jc w:val="both"/>
        <w:rPr>
          <w:rFonts w:ascii="Arial" w:hAnsi="Arial" w:cs="Arial"/>
          <w:i/>
          <w:sz w:val="20"/>
        </w:rPr>
      </w:pPr>
    </w:p>
    <w:p w14:paraId="0EF7466D" w14:textId="77777777" w:rsidR="00251B4A" w:rsidRPr="00624CB2" w:rsidRDefault="00251B4A" w:rsidP="00326846">
      <w:pPr>
        <w:pStyle w:val="Heading1"/>
        <w:jc w:val="both"/>
        <w:rPr>
          <w:sz w:val="32"/>
          <w:lang w:val="en-US"/>
        </w:rPr>
      </w:pPr>
      <w:r w:rsidRPr="00624CB2">
        <w:rPr>
          <w:sz w:val="32"/>
          <w:lang w:val="en-US"/>
        </w:rPr>
        <w:t>References</w:t>
      </w:r>
    </w:p>
    <w:p w14:paraId="4A255B57" w14:textId="77777777" w:rsidR="00AB5EED" w:rsidRDefault="00AB5EED" w:rsidP="00AB5EED">
      <w:pPr>
        <w:pStyle w:val="Reference"/>
        <w:numPr>
          <w:ilvl w:val="0"/>
          <w:numId w:val="48"/>
        </w:numPr>
        <w:spacing w:line="256" w:lineRule="auto"/>
        <w:rPr>
          <w:rFonts w:ascii="Arial" w:hAnsi="Arial" w:cs="Arial"/>
          <w:sz w:val="20"/>
        </w:rPr>
      </w:pPr>
      <w:r>
        <w:rPr>
          <w:rFonts w:ascii="Arial" w:hAnsi="Arial" w:cs="Arial"/>
          <w:sz w:val="20"/>
        </w:rPr>
        <w:t>R1-167586</w:t>
      </w:r>
      <w:r>
        <w:rPr>
          <w:rFonts w:ascii="Arial" w:hAnsi="Arial" w:cs="Arial"/>
          <w:sz w:val="20"/>
        </w:rPr>
        <w:tab/>
        <w:t>Resource selection using SA decoding and energy measurements; InterDigital</w:t>
      </w:r>
    </w:p>
    <w:p w14:paraId="162E06AE" w14:textId="77777777" w:rsidR="00AB5EED" w:rsidRDefault="00AB5EED" w:rsidP="00AB5EED">
      <w:pPr>
        <w:pStyle w:val="Reference"/>
        <w:numPr>
          <w:ilvl w:val="0"/>
          <w:numId w:val="48"/>
        </w:numPr>
        <w:spacing w:line="256" w:lineRule="auto"/>
        <w:rPr>
          <w:rFonts w:ascii="Arial" w:hAnsi="Arial" w:cs="Arial"/>
          <w:sz w:val="20"/>
        </w:rPr>
      </w:pPr>
      <w:r>
        <w:rPr>
          <w:rFonts w:ascii="Arial" w:hAnsi="Arial" w:cs="Arial"/>
          <w:sz w:val="20"/>
        </w:rPr>
        <w:t>R1-167587</w:t>
      </w:r>
      <w:r>
        <w:rPr>
          <w:rFonts w:ascii="Arial" w:hAnsi="Arial" w:cs="Arial"/>
          <w:sz w:val="20"/>
        </w:rPr>
        <w:tab/>
        <w:t>Priority handling for V2V over PC5; InterDigital</w:t>
      </w:r>
    </w:p>
    <w:p w14:paraId="1737C0DD" w14:textId="77777777" w:rsidR="00AB5EED" w:rsidRDefault="00AB5EED" w:rsidP="00AB5EED">
      <w:pPr>
        <w:pStyle w:val="Reference"/>
        <w:numPr>
          <w:ilvl w:val="0"/>
          <w:numId w:val="48"/>
        </w:numPr>
        <w:spacing w:line="256" w:lineRule="auto"/>
        <w:rPr>
          <w:rFonts w:ascii="Arial" w:hAnsi="Arial" w:cs="Arial"/>
          <w:sz w:val="20"/>
        </w:rPr>
      </w:pPr>
      <w:r>
        <w:rPr>
          <w:rFonts w:ascii="Arial" w:hAnsi="Arial" w:cs="Arial"/>
          <w:sz w:val="20"/>
        </w:rPr>
        <w:t>R1-167589</w:t>
      </w:r>
      <w:r>
        <w:rPr>
          <w:rFonts w:ascii="Arial" w:hAnsi="Arial" w:cs="Arial"/>
          <w:sz w:val="20"/>
        </w:rPr>
        <w:tab/>
        <w:t>DCI contents for SPS and resource allocation in Mode 1; InterDigital</w:t>
      </w:r>
    </w:p>
    <w:p w14:paraId="50EE9EA6" w14:textId="77777777" w:rsidR="00AB5EED" w:rsidRDefault="00AB5EED" w:rsidP="00AB5EED">
      <w:pPr>
        <w:pStyle w:val="Reference"/>
        <w:numPr>
          <w:ilvl w:val="0"/>
          <w:numId w:val="48"/>
        </w:numPr>
        <w:spacing w:line="256" w:lineRule="auto"/>
        <w:rPr>
          <w:rFonts w:ascii="Arial" w:hAnsi="Arial" w:cs="Arial"/>
          <w:sz w:val="20"/>
        </w:rPr>
      </w:pPr>
      <w:r>
        <w:rPr>
          <w:rFonts w:ascii="Arial" w:hAnsi="Arial" w:cs="Arial"/>
          <w:sz w:val="20"/>
        </w:rPr>
        <w:t>R1-167590</w:t>
      </w:r>
      <w:r>
        <w:rPr>
          <w:rFonts w:ascii="Arial" w:hAnsi="Arial" w:cs="Arial"/>
          <w:sz w:val="20"/>
        </w:rPr>
        <w:tab/>
        <w:t>SCI contents for R14 V2V; InterDigital</w:t>
      </w:r>
    </w:p>
    <w:p w14:paraId="6D492144" w14:textId="77777777" w:rsidR="00AB5EED" w:rsidRDefault="00AB5EED" w:rsidP="00AB5EED">
      <w:pPr>
        <w:pStyle w:val="Reference"/>
        <w:numPr>
          <w:ilvl w:val="0"/>
          <w:numId w:val="48"/>
        </w:numPr>
        <w:spacing w:line="256" w:lineRule="auto"/>
        <w:rPr>
          <w:rFonts w:ascii="Arial" w:hAnsi="Arial" w:cs="Arial"/>
          <w:sz w:val="20"/>
        </w:rPr>
      </w:pPr>
      <w:r>
        <w:rPr>
          <w:rFonts w:ascii="Arial" w:hAnsi="Arial" w:cs="Arial"/>
          <w:sz w:val="20"/>
        </w:rPr>
        <w:t>R1-167591</w:t>
      </w:r>
      <w:r>
        <w:rPr>
          <w:rFonts w:ascii="Arial" w:hAnsi="Arial" w:cs="Arial"/>
          <w:sz w:val="20"/>
        </w:rPr>
        <w:tab/>
        <w:t>Coexistence of PC5-based V2V and legacy Uu operation; InterDigital</w:t>
      </w:r>
    </w:p>
    <w:p w14:paraId="298E1B2D" w14:textId="77777777" w:rsidR="00AB5EED" w:rsidRDefault="00AB5EED" w:rsidP="00AB5EED">
      <w:pPr>
        <w:pStyle w:val="Reference"/>
        <w:numPr>
          <w:ilvl w:val="0"/>
          <w:numId w:val="48"/>
        </w:numPr>
        <w:spacing w:line="256" w:lineRule="auto"/>
        <w:rPr>
          <w:rFonts w:ascii="Arial" w:hAnsi="Arial" w:cs="Arial"/>
          <w:sz w:val="20"/>
        </w:rPr>
      </w:pPr>
      <w:r>
        <w:rPr>
          <w:rFonts w:ascii="Arial" w:hAnsi="Arial" w:cs="Arial"/>
          <w:sz w:val="20"/>
        </w:rPr>
        <w:t>R1-167592</w:t>
      </w:r>
      <w:r>
        <w:rPr>
          <w:rFonts w:ascii="Arial" w:hAnsi="Arial" w:cs="Arial"/>
          <w:sz w:val="20"/>
        </w:rPr>
        <w:tab/>
        <w:t>Priority order of synchronization sources; InterDigital</w:t>
      </w:r>
    </w:p>
    <w:p w14:paraId="4BB54F5C" w14:textId="77777777" w:rsidR="00AB5EED" w:rsidRDefault="00AB5EED" w:rsidP="00AB5EED">
      <w:pPr>
        <w:pStyle w:val="Reference"/>
        <w:numPr>
          <w:ilvl w:val="0"/>
          <w:numId w:val="48"/>
        </w:numPr>
        <w:spacing w:line="256" w:lineRule="auto"/>
        <w:jc w:val="both"/>
        <w:rPr>
          <w:rFonts w:ascii="Arial" w:hAnsi="Arial" w:cs="Arial"/>
          <w:sz w:val="20"/>
        </w:rPr>
      </w:pPr>
      <w:r>
        <w:rPr>
          <w:rFonts w:ascii="Arial" w:hAnsi="Arial" w:cs="Arial"/>
          <w:sz w:val="20"/>
        </w:rPr>
        <w:t>R1-165040</w:t>
      </w:r>
      <w:r>
        <w:rPr>
          <w:rFonts w:ascii="Arial" w:hAnsi="Arial" w:cs="Arial"/>
          <w:sz w:val="20"/>
        </w:rPr>
        <w:tab/>
        <w:t>On priority handling for V2V; InterDigital</w:t>
      </w:r>
    </w:p>
    <w:p w14:paraId="159CAACB" w14:textId="599A532B" w:rsidR="00A562F1" w:rsidRPr="00C8065C" w:rsidRDefault="00AB5EED" w:rsidP="00C8065C">
      <w:pPr>
        <w:pStyle w:val="Reference"/>
        <w:numPr>
          <w:ilvl w:val="0"/>
          <w:numId w:val="48"/>
        </w:numPr>
        <w:spacing w:line="256" w:lineRule="auto"/>
        <w:rPr>
          <w:rFonts w:ascii="Arial" w:hAnsi="Arial" w:cs="Arial"/>
          <w:sz w:val="20"/>
        </w:rPr>
      </w:pPr>
      <w:r>
        <w:rPr>
          <w:rFonts w:ascii="Arial" w:hAnsi="Arial" w:cs="Arial"/>
          <w:sz w:val="20"/>
        </w:rPr>
        <w:t>R1-165039</w:t>
      </w:r>
      <w:r>
        <w:rPr>
          <w:rFonts w:ascii="Arial" w:hAnsi="Arial" w:cs="Arial"/>
          <w:sz w:val="20"/>
        </w:rPr>
        <w:tab/>
        <w:t>On sensing with SA decoding and energy measurement for V2V; InterDigital</w:t>
      </w:r>
    </w:p>
    <w:sectPr w:rsidR="00A562F1" w:rsidRPr="00C8065C" w:rsidSect="00D55085">
      <w:headerReference w:type="even" r:id="rId9"/>
      <w:footerReference w:type="default" r:id="rId1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F486F" w14:textId="77777777" w:rsidR="00B721C7" w:rsidRDefault="00B721C7">
      <w:r>
        <w:separator/>
      </w:r>
    </w:p>
  </w:endnote>
  <w:endnote w:type="continuationSeparator" w:id="0">
    <w:p w14:paraId="7918644F" w14:textId="77777777" w:rsidR="00B721C7" w:rsidRDefault="00B72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549ABAE5"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48F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48F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EB807" w14:textId="77777777" w:rsidR="00B721C7" w:rsidRDefault="00B721C7">
      <w:r>
        <w:separator/>
      </w:r>
    </w:p>
  </w:footnote>
  <w:footnote w:type="continuationSeparator" w:id="0">
    <w:p w14:paraId="2080C586" w14:textId="77777777" w:rsidR="00B721C7" w:rsidRDefault="00B72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642613"/>
    <w:multiLevelType w:val="hybridMultilevel"/>
    <w:tmpl w:val="9D44D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C356E4"/>
    <w:multiLevelType w:val="hybridMultilevel"/>
    <w:tmpl w:val="5D1456E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2"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7"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1A7B59"/>
    <w:multiLevelType w:val="hybridMultilevel"/>
    <w:tmpl w:val="D44E6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1"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5"/>
  </w:num>
  <w:num w:numId="4">
    <w:abstractNumId w:val="16"/>
  </w:num>
  <w:num w:numId="5">
    <w:abstractNumId w:val="11"/>
  </w:num>
  <w:num w:numId="6">
    <w:abstractNumId w:val="20"/>
  </w:num>
  <w:num w:numId="7">
    <w:abstractNumId w:val="29"/>
  </w:num>
  <w:num w:numId="8">
    <w:abstractNumId w:val="12"/>
  </w:num>
  <w:num w:numId="9">
    <w:abstractNumId w:val="39"/>
  </w:num>
  <w:num w:numId="10">
    <w:abstractNumId w:val="32"/>
  </w:num>
  <w:num w:numId="11">
    <w:abstractNumId w:val="40"/>
  </w:num>
  <w:num w:numId="12">
    <w:abstractNumId w:val="6"/>
  </w:num>
  <w:num w:numId="13">
    <w:abstractNumId w:val="8"/>
  </w:num>
  <w:num w:numId="14">
    <w:abstractNumId w:val="18"/>
  </w:num>
  <w:num w:numId="15">
    <w:abstractNumId w:val="33"/>
  </w:num>
  <w:num w:numId="16">
    <w:abstractNumId w:val="7"/>
  </w:num>
  <w:num w:numId="17">
    <w:abstractNumId w:val="3"/>
  </w:num>
  <w:num w:numId="18">
    <w:abstractNumId w:val="10"/>
  </w:num>
  <w:num w:numId="19">
    <w:abstractNumId w:val="30"/>
  </w:num>
  <w:num w:numId="20">
    <w:abstractNumId w:val="23"/>
  </w:num>
  <w:num w:numId="21">
    <w:abstractNumId w:val="26"/>
  </w:num>
  <w:num w:numId="22">
    <w:abstractNumId w:val="35"/>
  </w:num>
  <w:num w:numId="23">
    <w:abstractNumId w:val="5"/>
  </w:num>
  <w:num w:numId="24">
    <w:abstractNumId w:val="34"/>
  </w:num>
  <w:num w:numId="25">
    <w:abstractNumId w:val="41"/>
  </w:num>
  <w:num w:numId="26">
    <w:abstractNumId w:val="17"/>
  </w:num>
  <w:num w:numId="27">
    <w:abstractNumId w:val="36"/>
  </w:num>
  <w:num w:numId="28">
    <w:abstractNumId w:val="25"/>
  </w:num>
  <w:num w:numId="29">
    <w:abstractNumId w:val="1"/>
  </w:num>
  <w:num w:numId="30">
    <w:abstractNumId w:val="1"/>
  </w:num>
  <w:num w:numId="31">
    <w:abstractNumId w:val="31"/>
  </w:num>
  <w:num w:numId="32">
    <w:abstractNumId w:val="21"/>
  </w:num>
  <w:num w:numId="33">
    <w:abstractNumId w:val="9"/>
  </w:num>
  <w:num w:numId="34">
    <w:abstractNumId w:val="42"/>
  </w:num>
  <w:num w:numId="35">
    <w:abstractNumId w:val="37"/>
  </w:num>
  <w:num w:numId="36">
    <w:abstractNumId w:val="0"/>
  </w:num>
  <w:num w:numId="37">
    <w:abstractNumId w:val="24"/>
  </w:num>
  <w:num w:numId="38">
    <w:abstractNumId w:val="27"/>
  </w:num>
  <w:num w:numId="39">
    <w:abstractNumId w:val="14"/>
  </w:num>
  <w:num w:numId="40">
    <w:abstractNumId w:val="22"/>
  </w:num>
  <w:num w:numId="41">
    <w:abstractNumId w:val="1"/>
  </w:num>
  <w:num w:numId="42">
    <w:abstractNumId w:val="13"/>
  </w:num>
  <w:num w:numId="43">
    <w:abstractNumId w:val="28"/>
  </w:num>
  <w:num w:numId="44">
    <w:abstractNumId w:val="2"/>
  </w:num>
  <w:num w:numId="45">
    <w:abstractNumId w:val="4"/>
  </w:num>
  <w:num w:numId="46">
    <w:abstractNumId w:val="19"/>
  </w:num>
  <w:num w:numId="47">
    <w:abstractNumId w:val="38"/>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16A3A"/>
    <w:rsid w:val="00021143"/>
    <w:rsid w:val="0002128B"/>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479B5"/>
    <w:rsid w:val="00050717"/>
    <w:rsid w:val="000511FA"/>
    <w:rsid w:val="00052A07"/>
    <w:rsid w:val="000534E3"/>
    <w:rsid w:val="00053756"/>
    <w:rsid w:val="00053C47"/>
    <w:rsid w:val="00054303"/>
    <w:rsid w:val="00054888"/>
    <w:rsid w:val="00054EE4"/>
    <w:rsid w:val="00055378"/>
    <w:rsid w:val="0005606A"/>
    <w:rsid w:val="00056718"/>
    <w:rsid w:val="00056A67"/>
    <w:rsid w:val="00056FD0"/>
    <w:rsid w:val="00057117"/>
    <w:rsid w:val="000571B8"/>
    <w:rsid w:val="0005757D"/>
    <w:rsid w:val="00057EE8"/>
    <w:rsid w:val="000604D2"/>
    <w:rsid w:val="000616E7"/>
    <w:rsid w:val="00061829"/>
    <w:rsid w:val="000625C8"/>
    <w:rsid w:val="00063DA1"/>
    <w:rsid w:val="00063EF3"/>
    <w:rsid w:val="000641AA"/>
    <w:rsid w:val="000645B8"/>
    <w:rsid w:val="0006487E"/>
    <w:rsid w:val="00065E1A"/>
    <w:rsid w:val="00065F7E"/>
    <w:rsid w:val="00070D25"/>
    <w:rsid w:val="00071225"/>
    <w:rsid w:val="000715A7"/>
    <w:rsid w:val="000725A0"/>
    <w:rsid w:val="0007415D"/>
    <w:rsid w:val="00074E05"/>
    <w:rsid w:val="00074F35"/>
    <w:rsid w:val="00075131"/>
    <w:rsid w:val="00075BF1"/>
    <w:rsid w:val="00076974"/>
    <w:rsid w:val="0007787A"/>
    <w:rsid w:val="00077A1C"/>
    <w:rsid w:val="00077CF3"/>
    <w:rsid w:val="00077E5F"/>
    <w:rsid w:val="0008004D"/>
    <w:rsid w:val="00080281"/>
    <w:rsid w:val="0008036A"/>
    <w:rsid w:val="00081971"/>
    <w:rsid w:val="00081AE6"/>
    <w:rsid w:val="00082135"/>
    <w:rsid w:val="000842A0"/>
    <w:rsid w:val="00085543"/>
    <w:rsid w:val="000855EB"/>
    <w:rsid w:val="00085A01"/>
    <w:rsid w:val="00085B52"/>
    <w:rsid w:val="00085E11"/>
    <w:rsid w:val="00086061"/>
    <w:rsid w:val="000862B6"/>
    <w:rsid w:val="000866F2"/>
    <w:rsid w:val="00086A43"/>
    <w:rsid w:val="00087AD7"/>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0B"/>
    <w:rsid w:val="000C165A"/>
    <w:rsid w:val="000C1E19"/>
    <w:rsid w:val="000C2365"/>
    <w:rsid w:val="000C2C1D"/>
    <w:rsid w:val="000C2E19"/>
    <w:rsid w:val="000C3794"/>
    <w:rsid w:val="000C501B"/>
    <w:rsid w:val="000C50FA"/>
    <w:rsid w:val="000C64E6"/>
    <w:rsid w:val="000C6F9D"/>
    <w:rsid w:val="000D0D07"/>
    <w:rsid w:val="000D162D"/>
    <w:rsid w:val="000D2F63"/>
    <w:rsid w:val="000D4138"/>
    <w:rsid w:val="000D4797"/>
    <w:rsid w:val="000D501A"/>
    <w:rsid w:val="000D5559"/>
    <w:rsid w:val="000D5C17"/>
    <w:rsid w:val="000E0527"/>
    <w:rsid w:val="000E0669"/>
    <w:rsid w:val="000E096C"/>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0EB4"/>
    <w:rsid w:val="000F1106"/>
    <w:rsid w:val="000F1854"/>
    <w:rsid w:val="000F1AE1"/>
    <w:rsid w:val="000F2522"/>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5808"/>
    <w:rsid w:val="00105CB0"/>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2B4"/>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281C"/>
    <w:rsid w:val="00172BA6"/>
    <w:rsid w:val="001735B9"/>
    <w:rsid w:val="00173A8E"/>
    <w:rsid w:val="0017437B"/>
    <w:rsid w:val="001747A2"/>
    <w:rsid w:val="00174FE7"/>
    <w:rsid w:val="001750CB"/>
    <w:rsid w:val="00175A10"/>
    <w:rsid w:val="00175A7C"/>
    <w:rsid w:val="001762DB"/>
    <w:rsid w:val="00176300"/>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94E"/>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07FD7"/>
    <w:rsid w:val="00211068"/>
    <w:rsid w:val="002111FD"/>
    <w:rsid w:val="00211C2F"/>
    <w:rsid w:val="00212596"/>
    <w:rsid w:val="00212D1B"/>
    <w:rsid w:val="00212D2F"/>
    <w:rsid w:val="0021336E"/>
    <w:rsid w:val="00213CA6"/>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0249"/>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47BF5"/>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1F2C"/>
    <w:rsid w:val="00262A43"/>
    <w:rsid w:val="002637AE"/>
    <w:rsid w:val="00264189"/>
    <w:rsid w:val="00264228"/>
    <w:rsid w:val="00264334"/>
    <w:rsid w:val="0026473E"/>
    <w:rsid w:val="00265521"/>
    <w:rsid w:val="00265C81"/>
    <w:rsid w:val="00266214"/>
    <w:rsid w:val="00267A3C"/>
    <w:rsid w:val="00267C83"/>
    <w:rsid w:val="00270D55"/>
    <w:rsid w:val="0027144F"/>
    <w:rsid w:val="00271F3A"/>
    <w:rsid w:val="00273278"/>
    <w:rsid w:val="002737F4"/>
    <w:rsid w:val="00273B8E"/>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2DFB"/>
    <w:rsid w:val="002B3B0D"/>
    <w:rsid w:val="002B3FE9"/>
    <w:rsid w:val="002B5E84"/>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C7B"/>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0CF0"/>
    <w:rsid w:val="00311702"/>
    <w:rsid w:val="00311E82"/>
    <w:rsid w:val="003124BA"/>
    <w:rsid w:val="00312B5C"/>
    <w:rsid w:val="00313FD6"/>
    <w:rsid w:val="003143BD"/>
    <w:rsid w:val="003153C1"/>
    <w:rsid w:val="00315986"/>
    <w:rsid w:val="00317B85"/>
    <w:rsid w:val="00320177"/>
    <w:rsid w:val="003203ED"/>
    <w:rsid w:val="0032116E"/>
    <w:rsid w:val="0032130F"/>
    <w:rsid w:val="00322820"/>
    <w:rsid w:val="00322C9F"/>
    <w:rsid w:val="003233E6"/>
    <w:rsid w:val="00324135"/>
    <w:rsid w:val="00324AA1"/>
    <w:rsid w:val="00324D23"/>
    <w:rsid w:val="0032528A"/>
    <w:rsid w:val="00325768"/>
    <w:rsid w:val="00325884"/>
    <w:rsid w:val="00325F35"/>
    <w:rsid w:val="003260A9"/>
    <w:rsid w:val="00326846"/>
    <w:rsid w:val="00330BBF"/>
    <w:rsid w:val="00330D80"/>
    <w:rsid w:val="00331751"/>
    <w:rsid w:val="00331EAD"/>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4FC0"/>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1F5"/>
    <w:rsid w:val="00361261"/>
    <w:rsid w:val="003618AD"/>
    <w:rsid w:val="00362F2B"/>
    <w:rsid w:val="00363773"/>
    <w:rsid w:val="003649A8"/>
    <w:rsid w:val="00364BF8"/>
    <w:rsid w:val="0036558A"/>
    <w:rsid w:val="00365BF7"/>
    <w:rsid w:val="00365ED8"/>
    <w:rsid w:val="0036661C"/>
    <w:rsid w:val="0036678A"/>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6FF3"/>
    <w:rsid w:val="0037719F"/>
    <w:rsid w:val="00377CE1"/>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87D"/>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2CB"/>
    <w:rsid w:val="003B6931"/>
    <w:rsid w:val="003B72C3"/>
    <w:rsid w:val="003B743C"/>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215"/>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3DE2"/>
    <w:rsid w:val="004040C0"/>
    <w:rsid w:val="004048B5"/>
    <w:rsid w:val="0040512B"/>
    <w:rsid w:val="00405CA5"/>
    <w:rsid w:val="00406147"/>
    <w:rsid w:val="00406620"/>
    <w:rsid w:val="00406A49"/>
    <w:rsid w:val="00406BA2"/>
    <w:rsid w:val="00406C60"/>
    <w:rsid w:val="00406D09"/>
    <w:rsid w:val="00407C29"/>
    <w:rsid w:val="00407CD3"/>
    <w:rsid w:val="00407D11"/>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1B81"/>
    <w:rsid w:val="004328D6"/>
    <w:rsid w:val="0043299F"/>
    <w:rsid w:val="00432F94"/>
    <w:rsid w:val="00433752"/>
    <w:rsid w:val="00433CB2"/>
    <w:rsid w:val="004345C8"/>
    <w:rsid w:val="0043473D"/>
    <w:rsid w:val="00434ED0"/>
    <w:rsid w:val="00437447"/>
    <w:rsid w:val="00440C67"/>
    <w:rsid w:val="00441A92"/>
    <w:rsid w:val="00442A5F"/>
    <w:rsid w:val="00443C63"/>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45F1"/>
    <w:rsid w:val="0045630F"/>
    <w:rsid w:val="00456425"/>
    <w:rsid w:val="00457565"/>
    <w:rsid w:val="00457B71"/>
    <w:rsid w:val="00460D15"/>
    <w:rsid w:val="004616E7"/>
    <w:rsid w:val="00461892"/>
    <w:rsid w:val="0046410C"/>
    <w:rsid w:val="0046493F"/>
    <w:rsid w:val="00464FB4"/>
    <w:rsid w:val="004661B2"/>
    <w:rsid w:val="004669E2"/>
    <w:rsid w:val="00466F5E"/>
    <w:rsid w:val="00470334"/>
    <w:rsid w:val="00470B4B"/>
    <w:rsid w:val="00470C31"/>
    <w:rsid w:val="0047217D"/>
    <w:rsid w:val="0047271B"/>
    <w:rsid w:val="00472CF7"/>
    <w:rsid w:val="004734D0"/>
    <w:rsid w:val="00473BE8"/>
    <w:rsid w:val="00473DCE"/>
    <w:rsid w:val="004751F6"/>
    <w:rsid w:val="0047556B"/>
    <w:rsid w:val="004759C4"/>
    <w:rsid w:val="00476675"/>
    <w:rsid w:val="00476AA1"/>
    <w:rsid w:val="0047748E"/>
    <w:rsid w:val="00477768"/>
    <w:rsid w:val="004804AB"/>
    <w:rsid w:val="004809E0"/>
    <w:rsid w:val="00480A40"/>
    <w:rsid w:val="00480E5D"/>
    <w:rsid w:val="00481203"/>
    <w:rsid w:val="004815FD"/>
    <w:rsid w:val="00481705"/>
    <w:rsid w:val="0048174C"/>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45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380"/>
    <w:rsid w:val="004C4662"/>
    <w:rsid w:val="004C5CD9"/>
    <w:rsid w:val="004C5EE9"/>
    <w:rsid w:val="004C61A8"/>
    <w:rsid w:val="004C6A7A"/>
    <w:rsid w:val="004C6D2F"/>
    <w:rsid w:val="004C6D4F"/>
    <w:rsid w:val="004C6ED8"/>
    <w:rsid w:val="004C72BF"/>
    <w:rsid w:val="004C77F7"/>
    <w:rsid w:val="004D06BB"/>
    <w:rsid w:val="004D2254"/>
    <w:rsid w:val="004D2773"/>
    <w:rsid w:val="004D36B1"/>
    <w:rsid w:val="004D5D0C"/>
    <w:rsid w:val="004D6C54"/>
    <w:rsid w:val="004D6D7A"/>
    <w:rsid w:val="004D6DCF"/>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489"/>
    <w:rsid w:val="004E37A5"/>
    <w:rsid w:val="004E3BAF"/>
    <w:rsid w:val="004E45AE"/>
    <w:rsid w:val="004E462E"/>
    <w:rsid w:val="004E53C7"/>
    <w:rsid w:val="004E56DC"/>
    <w:rsid w:val="004E6C03"/>
    <w:rsid w:val="004E76F4"/>
    <w:rsid w:val="004E7873"/>
    <w:rsid w:val="004F0445"/>
    <w:rsid w:val="004F0B6C"/>
    <w:rsid w:val="004F1720"/>
    <w:rsid w:val="004F19EB"/>
    <w:rsid w:val="004F2078"/>
    <w:rsid w:val="004F27D0"/>
    <w:rsid w:val="004F30B7"/>
    <w:rsid w:val="004F4DA3"/>
    <w:rsid w:val="004F53E9"/>
    <w:rsid w:val="004F631B"/>
    <w:rsid w:val="004F6322"/>
    <w:rsid w:val="004F659D"/>
    <w:rsid w:val="004F735E"/>
    <w:rsid w:val="00500B52"/>
    <w:rsid w:val="00502231"/>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2CB"/>
    <w:rsid w:val="00517FD4"/>
    <w:rsid w:val="005219CF"/>
    <w:rsid w:val="00522170"/>
    <w:rsid w:val="00522857"/>
    <w:rsid w:val="005234AA"/>
    <w:rsid w:val="005251B0"/>
    <w:rsid w:val="00525A40"/>
    <w:rsid w:val="00527D68"/>
    <w:rsid w:val="00530D7E"/>
    <w:rsid w:val="005322B8"/>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050B"/>
    <w:rsid w:val="00551810"/>
    <w:rsid w:val="0055328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856"/>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651"/>
    <w:rsid w:val="0058798C"/>
    <w:rsid w:val="005900FA"/>
    <w:rsid w:val="00590A17"/>
    <w:rsid w:val="00590F22"/>
    <w:rsid w:val="00591135"/>
    <w:rsid w:val="0059237B"/>
    <w:rsid w:val="00593521"/>
    <w:rsid w:val="005935A4"/>
    <w:rsid w:val="00593AE2"/>
    <w:rsid w:val="005948C2"/>
    <w:rsid w:val="00594A4E"/>
    <w:rsid w:val="0059588C"/>
    <w:rsid w:val="00595D45"/>
    <w:rsid w:val="00595D84"/>
    <w:rsid w:val="00595DCA"/>
    <w:rsid w:val="00596121"/>
    <w:rsid w:val="00596E6C"/>
    <w:rsid w:val="0059779B"/>
    <w:rsid w:val="00597B77"/>
    <w:rsid w:val="005A04F4"/>
    <w:rsid w:val="005A0771"/>
    <w:rsid w:val="005A0942"/>
    <w:rsid w:val="005A0DAA"/>
    <w:rsid w:val="005A1AB5"/>
    <w:rsid w:val="005A1BAD"/>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547D"/>
    <w:rsid w:val="005C61AC"/>
    <w:rsid w:val="005C65B6"/>
    <w:rsid w:val="005C6E03"/>
    <w:rsid w:val="005C74FB"/>
    <w:rsid w:val="005C76FB"/>
    <w:rsid w:val="005D030D"/>
    <w:rsid w:val="005D1602"/>
    <w:rsid w:val="005D26C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1D66"/>
    <w:rsid w:val="00613257"/>
    <w:rsid w:val="00614994"/>
    <w:rsid w:val="006151D2"/>
    <w:rsid w:val="00620B97"/>
    <w:rsid w:val="00621662"/>
    <w:rsid w:val="00621751"/>
    <w:rsid w:val="006232E1"/>
    <w:rsid w:val="006234A6"/>
    <w:rsid w:val="00624BF7"/>
    <w:rsid w:val="00624CB2"/>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4878"/>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093"/>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2A17"/>
    <w:rsid w:val="00673784"/>
    <w:rsid w:val="00673B0F"/>
    <w:rsid w:val="006741F2"/>
    <w:rsid w:val="0067421C"/>
    <w:rsid w:val="00674CC3"/>
    <w:rsid w:val="00675C72"/>
    <w:rsid w:val="00676D1A"/>
    <w:rsid w:val="006771F9"/>
    <w:rsid w:val="006776D7"/>
    <w:rsid w:val="0067785D"/>
    <w:rsid w:val="00680FB1"/>
    <w:rsid w:val="00681003"/>
    <w:rsid w:val="006812CA"/>
    <w:rsid w:val="006814F4"/>
    <w:rsid w:val="006817C9"/>
    <w:rsid w:val="00682919"/>
    <w:rsid w:val="006830A2"/>
    <w:rsid w:val="00683A3B"/>
    <w:rsid w:val="00684C61"/>
    <w:rsid w:val="00685EAF"/>
    <w:rsid w:val="0068608B"/>
    <w:rsid w:val="006867A6"/>
    <w:rsid w:val="00686917"/>
    <w:rsid w:val="006874C8"/>
    <w:rsid w:val="006906DB"/>
    <w:rsid w:val="00690760"/>
    <w:rsid w:val="00691A2E"/>
    <w:rsid w:val="006921F6"/>
    <w:rsid w:val="006929B2"/>
    <w:rsid w:val="00692E40"/>
    <w:rsid w:val="006931AC"/>
    <w:rsid w:val="00694076"/>
    <w:rsid w:val="00695951"/>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142B"/>
    <w:rsid w:val="006D305F"/>
    <w:rsid w:val="006D351A"/>
    <w:rsid w:val="006D4C5B"/>
    <w:rsid w:val="006D5CE4"/>
    <w:rsid w:val="006D5FB2"/>
    <w:rsid w:val="006D6F08"/>
    <w:rsid w:val="006D74BE"/>
    <w:rsid w:val="006D79AB"/>
    <w:rsid w:val="006D7DA7"/>
    <w:rsid w:val="006E0100"/>
    <w:rsid w:val="006E062C"/>
    <w:rsid w:val="006E258F"/>
    <w:rsid w:val="006E28B7"/>
    <w:rsid w:val="006E2A21"/>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003"/>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178D"/>
    <w:rsid w:val="00752C50"/>
    <w:rsid w:val="007543CB"/>
    <w:rsid w:val="00755EC7"/>
    <w:rsid w:val="00756190"/>
    <w:rsid w:val="007571E1"/>
    <w:rsid w:val="007575D7"/>
    <w:rsid w:val="00757F5E"/>
    <w:rsid w:val="007602E4"/>
    <w:rsid w:val="007604B2"/>
    <w:rsid w:val="007619D7"/>
    <w:rsid w:val="007623FB"/>
    <w:rsid w:val="00765281"/>
    <w:rsid w:val="00766BAD"/>
    <w:rsid w:val="007677EC"/>
    <w:rsid w:val="00770099"/>
    <w:rsid w:val="00771706"/>
    <w:rsid w:val="00771AA0"/>
    <w:rsid w:val="0077213F"/>
    <w:rsid w:val="007725EC"/>
    <w:rsid w:val="00772C20"/>
    <w:rsid w:val="007731FC"/>
    <w:rsid w:val="00773FB6"/>
    <w:rsid w:val="007750D5"/>
    <w:rsid w:val="00775486"/>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1F03"/>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41B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6156"/>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2AB"/>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761"/>
    <w:rsid w:val="00863B98"/>
    <w:rsid w:val="00863C5D"/>
    <w:rsid w:val="00863D38"/>
    <w:rsid w:val="0086425C"/>
    <w:rsid w:val="00864588"/>
    <w:rsid w:val="00864DC3"/>
    <w:rsid w:val="0086607D"/>
    <w:rsid w:val="008669E1"/>
    <w:rsid w:val="00866B2D"/>
    <w:rsid w:val="00866E1D"/>
    <w:rsid w:val="008677FD"/>
    <w:rsid w:val="00867981"/>
    <w:rsid w:val="00867B26"/>
    <w:rsid w:val="008705D4"/>
    <w:rsid w:val="008706D4"/>
    <w:rsid w:val="00870969"/>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3FC2"/>
    <w:rsid w:val="008D4FAD"/>
    <w:rsid w:val="008D517C"/>
    <w:rsid w:val="008D6D1A"/>
    <w:rsid w:val="008D75E7"/>
    <w:rsid w:val="008E07F9"/>
    <w:rsid w:val="008E0927"/>
    <w:rsid w:val="008E0DC8"/>
    <w:rsid w:val="008E10C0"/>
    <w:rsid w:val="008E1909"/>
    <w:rsid w:val="008E2A65"/>
    <w:rsid w:val="008E3000"/>
    <w:rsid w:val="008E30B6"/>
    <w:rsid w:val="008E31D3"/>
    <w:rsid w:val="008E33E0"/>
    <w:rsid w:val="008E3C1B"/>
    <w:rsid w:val="008E3E1F"/>
    <w:rsid w:val="008E436E"/>
    <w:rsid w:val="008E4E82"/>
    <w:rsid w:val="008E548A"/>
    <w:rsid w:val="008E54CF"/>
    <w:rsid w:val="008E5E7C"/>
    <w:rsid w:val="008E6074"/>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610"/>
    <w:rsid w:val="00925CBD"/>
    <w:rsid w:val="00927AAE"/>
    <w:rsid w:val="00931BD9"/>
    <w:rsid w:val="00932130"/>
    <w:rsid w:val="00932952"/>
    <w:rsid w:val="00933367"/>
    <w:rsid w:val="00933E80"/>
    <w:rsid w:val="00934396"/>
    <w:rsid w:val="009349BB"/>
    <w:rsid w:val="00935A7F"/>
    <w:rsid w:val="00937844"/>
    <w:rsid w:val="0094014F"/>
    <w:rsid w:val="00940C00"/>
    <w:rsid w:val="00941636"/>
    <w:rsid w:val="00942743"/>
    <w:rsid w:val="00942D57"/>
    <w:rsid w:val="009433F1"/>
    <w:rsid w:val="009436AF"/>
    <w:rsid w:val="00943742"/>
    <w:rsid w:val="00943A35"/>
    <w:rsid w:val="009448FF"/>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32A"/>
    <w:rsid w:val="009559ED"/>
    <w:rsid w:val="0095681E"/>
    <w:rsid w:val="00956901"/>
    <w:rsid w:val="009572D4"/>
    <w:rsid w:val="009615FF"/>
    <w:rsid w:val="00961921"/>
    <w:rsid w:val="0096240B"/>
    <w:rsid w:val="00962630"/>
    <w:rsid w:val="00962FB8"/>
    <w:rsid w:val="00963138"/>
    <w:rsid w:val="00963238"/>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27B3"/>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4AC9"/>
    <w:rsid w:val="009C50CD"/>
    <w:rsid w:val="009C5410"/>
    <w:rsid w:val="009C5A31"/>
    <w:rsid w:val="009C62EF"/>
    <w:rsid w:val="009C6698"/>
    <w:rsid w:val="009C742A"/>
    <w:rsid w:val="009C774C"/>
    <w:rsid w:val="009D111B"/>
    <w:rsid w:val="009D1829"/>
    <w:rsid w:val="009D2044"/>
    <w:rsid w:val="009D2ACB"/>
    <w:rsid w:val="009D34E4"/>
    <w:rsid w:val="009D378A"/>
    <w:rsid w:val="009D4096"/>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E65"/>
    <w:rsid w:val="00A10FBB"/>
    <w:rsid w:val="00A110BC"/>
    <w:rsid w:val="00A12492"/>
    <w:rsid w:val="00A13DD6"/>
    <w:rsid w:val="00A13E54"/>
    <w:rsid w:val="00A1420D"/>
    <w:rsid w:val="00A14BE3"/>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189"/>
    <w:rsid w:val="00A45364"/>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35C4"/>
    <w:rsid w:val="00A54350"/>
    <w:rsid w:val="00A562F1"/>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D90"/>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438B"/>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5EED"/>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59C"/>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2C3"/>
    <w:rsid w:val="00AE34E7"/>
    <w:rsid w:val="00AE39D2"/>
    <w:rsid w:val="00AE3D3C"/>
    <w:rsid w:val="00AE3FA0"/>
    <w:rsid w:val="00AE40E0"/>
    <w:rsid w:val="00AE4DBA"/>
    <w:rsid w:val="00AE4E4E"/>
    <w:rsid w:val="00AE4F07"/>
    <w:rsid w:val="00AE5783"/>
    <w:rsid w:val="00AF1C5D"/>
    <w:rsid w:val="00AF271A"/>
    <w:rsid w:val="00AF2C88"/>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3749"/>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2E6D"/>
    <w:rsid w:val="00B4387D"/>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1DD4"/>
    <w:rsid w:val="00B721C7"/>
    <w:rsid w:val="00B7285B"/>
    <w:rsid w:val="00B72868"/>
    <w:rsid w:val="00B73583"/>
    <w:rsid w:val="00B739F6"/>
    <w:rsid w:val="00B76D2A"/>
    <w:rsid w:val="00B777F2"/>
    <w:rsid w:val="00B77FFB"/>
    <w:rsid w:val="00B81A7B"/>
    <w:rsid w:val="00B81FF6"/>
    <w:rsid w:val="00B8209E"/>
    <w:rsid w:val="00B82472"/>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6AF"/>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BF7CCC"/>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4F3"/>
    <w:rsid w:val="00C279B5"/>
    <w:rsid w:val="00C27C45"/>
    <w:rsid w:val="00C27FDA"/>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49E9"/>
    <w:rsid w:val="00C45739"/>
    <w:rsid w:val="00C45F08"/>
    <w:rsid w:val="00C46B7B"/>
    <w:rsid w:val="00C500B5"/>
    <w:rsid w:val="00C5010D"/>
    <w:rsid w:val="00C5269D"/>
    <w:rsid w:val="00C52B72"/>
    <w:rsid w:val="00C537C2"/>
    <w:rsid w:val="00C53AD2"/>
    <w:rsid w:val="00C53FA7"/>
    <w:rsid w:val="00C54995"/>
    <w:rsid w:val="00C54D41"/>
    <w:rsid w:val="00C55464"/>
    <w:rsid w:val="00C557AE"/>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65C"/>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DB5"/>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6E76"/>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527"/>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1E83"/>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3EF5"/>
    <w:rsid w:val="00D341A0"/>
    <w:rsid w:val="00D3467D"/>
    <w:rsid w:val="00D352F6"/>
    <w:rsid w:val="00D36E71"/>
    <w:rsid w:val="00D37053"/>
    <w:rsid w:val="00D374CE"/>
    <w:rsid w:val="00D3771F"/>
    <w:rsid w:val="00D37D87"/>
    <w:rsid w:val="00D37E46"/>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23D5"/>
    <w:rsid w:val="00D72B06"/>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6586"/>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A7A91"/>
    <w:rsid w:val="00DB19A3"/>
    <w:rsid w:val="00DB27F9"/>
    <w:rsid w:val="00DB377D"/>
    <w:rsid w:val="00DB50C5"/>
    <w:rsid w:val="00DB59AD"/>
    <w:rsid w:val="00DB6054"/>
    <w:rsid w:val="00DB6E10"/>
    <w:rsid w:val="00DB6FD5"/>
    <w:rsid w:val="00DC0BB6"/>
    <w:rsid w:val="00DC2D36"/>
    <w:rsid w:val="00DC3D86"/>
    <w:rsid w:val="00DC4720"/>
    <w:rsid w:val="00DC53EF"/>
    <w:rsid w:val="00DC5FB3"/>
    <w:rsid w:val="00DC6129"/>
    <w:rsid w:val="00DC631A"/>
    <w:rsid w:val="00DC6DC7"/>
    <w:rsid w:val="00DD017F"/>
    <w:rsid w:val="00DD126B"/>
    <w:rsid w:val="00DD1AE7"/>
    <w:rsid w:val="00DD3166"/>
    <w:rsid w:val="00DD3A6E"/>
    <w:rsid w:val="00DD426E"/>
    <w:rsid w:val="00DD6064"/>
    <w:rsid w:val="00DD698D"/>
    <w:rsid w:val="00DD7666"/>
    <w:rsid w:val="00DD781B"/>
    <w:rsid w:val="00DD7E75"/>
    <w:rsid w:val="00DE11C9"/>
    <w:rsid w:val="00DE1E69"/>
    <w:rsid w:val="00DE23DC"/>
    <w:rsid w:val="00DE3510"/>
    <w:rsid w:val="00DE48BD"/>
    <w:rsid w:val="00DE4DD6"/>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BF5"/>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014B"/>
    <w:rsid w:val="00E61A10"/>
    <w:rsid w:val="00E61B94"/>
    <w:rsid w:val="00E622FB"/>
    <w:rsid w:val="00E62374"/>
    <w:rsid w:val="00E629CA"/>
    <w:rsid w:val="00E63838"/>
    <w:rsid w:val="00E64434"/>
    <w:rsid w:val="00E6485E"/>
    <w:rsid w:val="00E64D8B"/>
    <w:rsid w:val="00E65502"/>
    <w:rsid w:val="00E66A77"/>
    <w:rsid w:val="00E66A97"/>
    <w:rsid w:val="00E6721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D13"/>
    <w:rsid w:val="00E94F8A"/>
    <w:rsid w:val="00E950ED"/>
    <w:rsid w:val="00E96A1D"/>
    <w:rsid w:val="00E96F7B"/>
    <w:rsid w:val="00E9708E"/>
    <w:rsid w:val="00EA0829"/>
    <w:rsid w:val="00EA1C83"/>
    <w:rsid w:val="00EA1F15"/>
    <w:rsid w:val="00EA2847"/>
    <w:rsid w:val="00EA2949"/>
    <w:rsid w:val="00EA29CF"/>
    <w:rsid w:val="00EA2B3C"/>
    <w:rsid w:val="00EA3ABE"/>
    <w:rsid w:val="00EA438B"/>
    <w:rsid w:val="00EA4A0E"/>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65F"/>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E7809"/>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0F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6FE9"/>
    <w:rsid w:val="00F4766C"/>
    <w:rsid w:val="00F477F2"/>
    <w:rsid w:val="00F507D1"/>
    <w:rsid w:val="00F50984"/>
    <w:rsid w:val="00F5103C"/>
    <w:rsid w:val="00F514A1"/>
    <w:rsid w:val="00F517C5"/>
    <w:rsid w:val="00F519CE"/>
    <w:rsid w:val="00F51ADA"/>
    <w:rsid w:val="00F527D0"/>
    <w:rsid w:val="00F528D3"/>
    <w:rsid w:val="00F53352"/>
    <w:rsid w:val="00F537A8"/>
    <w:rsid w:val="00F53BC8"/>
    <w:rsid w:val="00F54253"/>
    <w:rsid w:val="00F5450F"/>
    <w:rsid w:val="00F54D17"/>
    <w:rsid w:val="00F54DFB"/>
    <w:rsid w:val="00F570BF"/>
    <w:rsid w:val="00F57485"/>
    <w:rsid w:val="00F5768B"/>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A74"/>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31C"/>
    <w:rsid w:val="00FD1EC8"/>
    <w:rsid w:val="00FD3AC5"/>
    <w:rsid w:val="00FD3B87"/>
    <w:rsid w:val="00FD4578"/>
    <w:rsid w:val="00FD47ED"/>
    <w:rsid w:val="00FD710F"/>
    <w:rsid w:val="00FD74DB"/>
    <w:rsid w:val="00FD75E6"/>
    <w:rsid w:val="00FD7660"/>
    <w:rsid w:val="00FD7894"/>
    <w:rsid w:val="00FD7BE1"/>
    <w:rsid w:val="00FE0655"/>
    <w:rsid w:val="00FE1388"/>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302A"/>
    <w:rsid w:val="00FF37CE"/>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8FF"/>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448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48F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paragraph" w:customStyle="1" w:styleId="LGTdoc">
    <w:name w:val="LGTdoc_본문"/>
    <w:basedOn w:val="Normal"/>
    <w:rsid w:val="00310CF0"/>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7812463">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28D42-08B7-4E48-AC47-13AC3A9B9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732</Words>
  <Characters>4177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2016-04-01T20:55:00Z</dcterms:created>
  <dcterms:modified xsi:type="dcterms:W3CDTF">2016-08-12T20:04:00Z</dcterms:modified>
  <cp:category/>
</cp:coreProperties>
</file>